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Pr="00366408" w:rsidRDefault="006360ED" w:rsidP="006360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6360ED" w:rsidRPr="00366408" w:rsidRDefault="006360ED" w:rsidP="00636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9540"/>
      </w:tblGrid>
      <w:tr w:rsidR="006360ED" w:rsidRPr="00366408" w:rsidTr="00011A8F">
        <w:trPr>
          <w:trHeight w:val="1618"/>
        </w:trPr>
        <w:tc>
          <w:tcPr>
            <w:tcW w:w="9540" w:type="dxa"/>
          </w:tcPr>
          <w:p w:rsidR="006360ED" w:rsidRPr="00366408" w:rsidRDefault="006360ED" w:rsidP="006360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40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3430" cy="773430"/>
                  <wp:effectExtent l="19050" t="0" r="7620" b="0"/>
                  <wp:docPr id="2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0ED" w:rsidRPr="00366408" w:rsidRDefault="006360ED" w:rsidP="006360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0ED" w:rsidRPr="00366408" w:rsidRDefault="006360ED" w:rsidP="006360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0ED" w:rsidRPr="00366408" w:rsidRDefault="006360ED" w:rsidP="006360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408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</w:p>
          <w:tbl>
            <w:tblPr>
              <w:tblpPr w:leftFromText="180" w:rightFromText="180" w:vertAnchor="text" w:horzAnchor="margin" w:tblpY="-178"/>
              <w:tblW w:w="0" w:type="auto"/>
              <w:tblLayout w:type="fixed"/>
              <w:tblLook w:val="04A0"/>
            </w:tblPr>
            <w:tblGrid>
              <w:gridCol w:w="9540"/>
            </w:tblGrid>
            <w:tr w:rsidR="006360ED" w:rsidRPr="00366408" w:rsidTr="00011A8F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6360ED" w:rsidRPr="00366408" w:rsidRDefault="006360ED" w:rsidP="006360E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3664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СОВЕТ ДЕПУТАТОВ  РАЙКОВСКОГО СЕЛЬСОВЕТА</w:t>
                  </w:r>
                </w:p>
              </w:tc>
            </w:tr>
          </w:tbl>
          <w:p w:rsidR="006360ED" w:rsidRPr="00366408" w:rsidRDefault="006360ED" w:rsidP="006360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60ED" w:rsidRPr="00366408" w:rsidRDefault="006360ED" w:rsidP="006360ED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6360ED" w:rsidRPr="00366408" w:rsidRDefault="006360ED" w:rsidP="006360E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366408">
        <w:rPr>
          <w:rFonts w:ascii="Times New Roman" w:hAnsi="Times New Roman" w:cs="Times New Roman"/>
          <w:b/>
          <w:bCs/>
          <w:kern w:val="32"/>
          <w:sz w:val="26"/>
          <w:szCs w:val="26"/>
        </w:rPr>
        <w:t>Р</w:t>
      </w:r>
      <w:proofErr w:type="gramEnd"/>
      <w:r w:rsidRPr="00366408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Е Ш Е Н И Е</w:t>
      </w:r>
    </w:p>
    <w:p w:rsidR="006360ED" w:rsidRPr="00366408" w:rsidRDefault="006360ED" w:rsidP="006360E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6360ED" w:rsidRPr="00366408" w:rsidRDefault="006360ED" w:rsidP="0063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 xml:space="preserve"> от ____________                        аал Райков                                № _____</w:t>
      </w:r>
    </w:p>
    <w:p w:rsidR="006360ED" w:rsidRPr="00366408" w:rsidRDefault="006360ED" w:rsidP="0063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0ED" w:rsidRPr="00366408" w:rsidRDefault="006360ED" w:rsidP="006360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60ED" w:rsidRPr="00366408" w:rsidRDefault="006360ED" w:rsidP="00636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b/>
          <w:i/>
          <w:sz w:val="26"/>
          <w:szCs w:val="26"/>
        </w:rPr>
        <w:t>Об установлении на территории</w:t>
      </w:r>
    </w:p>
    <w:p w:rsidR="006360ED" w:rsidRPr="00366408" w:rsidRDefault="006360ED" w:rsidP="00636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образования Райковский сельсовет</w:t>
      </w:r>
    </w:p>
    <w:p w:rsidR="006360ED" w:rsidRPr="00366408" w:rsidRDefault="006360ED" w:rsidP="00636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налога на имущество физических лиц </w:t>
      </w:r>
      <w:r w:rsidRPr="00366408">
        <w:rPr>
          <w:rFonts w:ascii="Times New Roman" w:hAnsi="Times New Roman" w:cs="Times New Roman"/>
          <w:b/>
          <w:i/>
          <w:sz w:val="26"/>
          <w:szCs w:val="26"/>
        </w:rPr>
        <w:t>на 202</w:t>
      </w:r>
      <w:r w:rsidR="00F97FE6" w:rsidRPr="00366408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366408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66408"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Российской Федерации,  п. 2 ч.1 ст. 14 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</w:t>
      </w:r>
      <w:proofErr w:type="gramEnd"/>
      <w:r w:rsidRPr="00366408">
        <w:rPr>
          <w:rFonts w:ascii="Times New Roman" w:eastAsia="Calibri" w:hAnsi="Times New Roman" w:cs="Times New Roman"/>
          <w:sz w:val="26"/>
          <w:szCs w:val="26"/>
        </w:rPr>
        <w:t xml:space="preserve"> кадастровой стоимости объектов налогообложения», руководствуясь Уставом муниципального образования Райковский сельсовет, Совет депутатов Райковского сельсовета Усть-Абаканского района Республики Хакасия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66408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6360ED" w:rsidRPr="00366408" w:rsidRDefault="006360ED" w:rsidP="00636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</w:t>
      </w:r>
      <w:r w:rsidR="00F97FE6" w:rsidRPr="00366408">
        <w:rPr>
          <w:rFonts w:ascii="Times New Roman" w:hAnsi="Times New Roman" w:cs="Times New Roman"/>
          <w:sz w:val="26"/>
          <w:szCs w:val="26"/>
        </w:rPr>
        <w:t>4</w:t>
      </w:r>
      <w:r w:rsidRPr="00366408"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Райковского сельсовет налог на имущество физических лиц (далее – налог).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sz w:val="26"/>
          <w:szCs w:val="26"/>
        </w:rPr>
        <w:t xml:space="preserve">2. Установить, что налоговая база по налогу </w:t>
      </w:r>
      <w:r w:rsidRPr="00366408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Pr="00366408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объектов налогообложения определяется исходя из их кадастровой стоимости.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sz w:val="26"/>
          <w:szCs w:val="26"/>
        </w:rPr>
        <w:t>3. Установить следующие налоговые ставки по налогу: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366408">
        <w:rPr>
          <w:rFonts w:ascii="Times New Roman" w:eastAsia="Calibri" w:hAnsi="Times New Roman" w:cs="Times New Roman"/>
          <w:sz w:val="26"/>
          <w:szCs w:val="26"/>
        </w:rPr>
        <w:t xml:space="preserve">0,1процента в отношении жилых домов, </w:t>
      </w:r>
      <w:r w:rsidRPr="00366408">
        <w:rPr>
          <w:rFonts w:ascii="Times New Roman" w:eastAsia="Times New Roman" w:hAnsi="Times New Roman" w:cs="Times New Roman"/>
          <w:sz w:val="26"/>
          <w:szCs w:val="26"/>
        </w:rPr>
        <w:t>частей жилых домов, квартир, частей квартир, комнат;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sz w:val="26"/>
          <w:szCs w:val="26"/>
        </w:rPr>
        <w:t xml:space="preserve">3.2. 0,1 </w:t>
      </w:r>
      <w:r w:rsidRPr="00366408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sz w:val="26"/>
          <w:szCs w:val="26"/>
        </w:rPr>
        <w:t>3.3. 0,1</w:t>
      </w:r>
      <w:r w:rsidRPr="00366408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sz w:val="26"/>
          <w:szCs w:val="26"/>
        </w:rPr>
        <w:t xml:space="preserve">3.4. 0,1 процента в отношении гаражей и </w:t>
      </w:r>
      <w:proofErr w:type="spellStart"/>
      <w:r w:rsidRPr="00366408">
        <w:rPr>
          <w:rFonts w:ascii="Times New Roman" w:eastAsia="Times New Roman" w:hAnsi="Times New Roman" w:cs="Times New Roman"/>
          <w:sz w:val="26"/>
          <w:szCs w:val="26"/>
        </w:rPr>
        <w:t>машино-мест</w:t>
      </w:r>
      <w:proofErr w:type="spellEnd"/>
      <w:r w:rsidRPr="00366408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Pr="00366408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366408">
        <w:rPr>
          <w:rFonts w:ascii="Times New Roman" w:eastAsia="Times New Roman" w:hAnsi="Times New Roman" w:cs="Times New Roman"/>
          <w:sz w:val="26"/>
          <w:szCs w:val="26"/>
        </w:rPr>
        <w:t>. 2 п. 2 ст. 406 НК РФ;</w:t>
      </w:r>
    </w:p>
    <w:p w:rsidR="006360ED" w:rsidRPr="00366408" w:rsidRDefault="006360ED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408">
        <w:rPr>
          <w:rFonts w:ascii="Times New Roman" w:eastAsia="Times New Roman" w:hAnsi="Times New Roman" w:cs="Times New Roman"/>
          <w:sz w:val="26"/>
          <w:szCs w:val="26"/>
        </w:rPr>
        <w:t xml:space="preserve">3.5. 0,1 </w:t>
      </w:r>
      <w:r w:rsidRPr="00366408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360ED" w:rsidRPr="00366408" w:rsidRDefault="006360ED" w:rsidP="006360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</w:t>
      </w:r>
      <w:r w:rsidRPr="00366408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6360ED" w:rsidRPr="00366408" w:rsidRDefault="006360ED" w:rsidP="006360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>менее 20 миллионов рублей – в размере 1,0 процента;</w:t>
      </w:r>
    </w:p>
    <w:p w:rsidR="006360ED" w:rsidRPr="00366408" w:rsidRDefault="006360ED" w:rsidP="006360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>от 20 миллионов рублей (включительно) до 50 миллионов рублей – 1,5 процента;</w:t>
      </w:r>
    </w:p>
    <w:p w:rsidR="006360ED" w:rsidRPr="00366408" w:rsidRDefault="006360ED" w:rsidP="006360ED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6360ED" w:rsidRPr="00366408" w:rsidRDefault="006360ED" w:rsidP="006360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6360ED" w:rsidRPr="00366408" w:rsidRDefault="006360ED" w:rsidP="006360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408">
        <w:rPr>
          <w:rFonts w:ascii="Times New Roman" w:eastAsia="Calibri" w:hAnsi="Times New Roman" w:cs="Times New Roman"/>
          <w:sz w:val="26"/>
          <w:szCs w:val="26"/>
        </w:rPr>
        <w:t>3.7. 0,5 процента в отношении прочих объектов налогообложения.</w:t>
      </w:r>
    </w:p>
    <w:p w:rsidR="00366408" w:rsidRPr="00366408" w:rsidRDefault="00366408" w:rsidP="003664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Pr="00366408">
        <w:rPr>
          <w:rFonts w:ascii="Times New Roman" w:hAnsi="Times New Roman" w:cs="Times New Roman"/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Pr="0036640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366408">
        <w:rPr>
          <w:rFonts w:ascii="Times New Roman" w:hAnsi="Times New Roman" w:cs="Times New Roman"/>
          <w:sz w:val="26"/>
          <w:szCs w:val="26"/>
        </w:rPr>
        <w:t xml:space="preserve"> известия» Главе Райковского сельсовета Усть-Абаканского района Республики Хакасия </w:t>
      </w:r>
      <w:proofErr w:type="spellStart"/>
      <w:r w:rsidRPr="00366408">
        <w:rPr>
          <w:rFonts w:ascii="Times New Roman" w:hAnsi="Times New Roman" w:cs="Times New Roman"/>
          <w:sz w:val="26"/>
          <w:szCs w:val="26"/>
        </w:rPr>
        <w:t>Нечкину</w:t>
      </w:r>
      <w:proofErr w:type="spellEnd"/>
      <w:r w:rsidRPr="00366408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366408" w:rsidRPr="00366408" w:rsidRDefault="00366408" w:rsidP="003664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366408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2024 года.</w:t>
      </w:r>
    </w:p>
    <w:p w:rsidR="00366408" w:rsidRPr="00366408" w:rsidRDefault="00366408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408" w:rsidRPr="00366408" w:rsidRDefault="00366408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408" w:rsidRPr="00366408" w:rsidRDefault="00366408" w:rsidP="006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408" w:rsidRPr="00366408" w:rsidRDefault="00366408" w:rsidP="0036640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>Глава Райковского сельсовета</w:t>
      </w:r>
    </w:p>
    <w:p w:rsidR="00366408" w:rsidRPr="00366408" w:rsidRDefault="00366408" w:rsidP="00366408">
      <w:pPr>
        <w:rPr>
          <w:rFonts w:ascii="Times New Roman" w:hAnsi="Times New Roman" w:cs="Times New Roman"/>
          <w:sz w:val="26"/>
          <w:szCs w:val="26"/>
        </w:rPr>
      </w:pPr>
      <w:r w:rsidRPr="00366408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                                  В.Ю. Нечкин</w:t>
      </w:r>
    </w:p>
    <w:p w:rsidR="006360ED" w:rsidRPr="00366408" w:rsidRDefault="006360ED" w:rsidP="006360E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E2D02" w:rsidRPr="00366408" w:rsidRDefault="00DE2D02" w:rsidP="006360E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E2D02" w:rsidRPr="00366408" w:rsidSect="004F1C95">
      <w:headerReference w:type="default" r:id="rId6"/>
      <w:pgSz w:w="11906" w:h="16838"/>
      <w:pgMar w:top="426" w:right="850" w:bottom="709" w:left="1701" w:header="34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58" w:rsidRPr="00222D41" w:rsidRDefault="00DE2D02" w:rsidP="006211BF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0ED"/>
    <w:rsid w:val="00366408"/>
    <w:rsid w:val="006360ED"/>
    <w:rsid w:val="00DE2D02"/>
    <w:rsid w:val="00F9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0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60ED"/>
    <w:rPr>
      <w:rFonts w:eastAsiaTheme="minorHAnsi"/>
      <w:lang w:eastAsia="en-US"/>
    </w:rPr>
  </w:style>
  <w:style w:type="paragraph" w:customStyle="1" w:styleId="ConsPlusNormal">
    <w:name w:val="ConsPlusNormal"/>
    <w:rsid w:val="00636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6360E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2</cp:revision>
  <cp:lastPrinted>2023-11-22T03:30:00Z</cp:lastPrinted>
  <dcterms:created xsi:type="dcterms:W3CDTF">2023-11-22T02:52:00Z</dcterms:created>
  <dcterms:modified xsi:type="dcterms:W3CDTF">2023-11-22T03:33:00Z</dcterms:modified>
</cp:coreProperties>
</file>